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60" w:rsidRPr="00D01952" w:rsidRDefault="00B91060" w:rsidP="00B91060">
      <w:pPr>
        <w:tabs>
          <w:tab w:val="left" w:pos="7263"/>
        </w:tabs>
        <w:spacing w:after="0" w:line="360" w:lineRule="auto"/>
        <w:rPr>
          <w:rFonts w:asciiTheme="majorBidi" w:hAnsiTheme="majorBidi" w:cstheme="majorBidi"/>
          <w:b/>
          <w:bCs/>
          <w:i/>
          <w:iCs/>
          <w:sz w:val="32"/>
          <w:szCs w:val="32"/>
          <w:lang w:val="fr-FR"/>
        </w:rPr>
      </w:pPr>
    </w:p>
    <w:p w:rsidR="00B91060" w:rsidRPr="00D01952" w:rsidRDefault="00B91060" w:rsidP="00B91060">
      <w:pPr>
        <w:tabs>
          <w:tab w:val="left" w:pos="7263"/>
        </w:tabs>
        <w:spacing w:after="0" w:line="360" w:lineRule="auto"/>
        <w:ind w:left="88"/>
        <w:rPr>
          <w:rFonts w:asciiTheme="majorBidi" w:hAnsiTheme="majorBidi" w:cstheme="majorBidi"/>
          <w:b/>
          <w:bCs/>
          <w:sz w:val="32"/>
          <w:szCs w:val="32"/>
          <w:lang w:val="fr-FR"/>
        </w:rPr>
      </w:pPr>
      <w:r w:rsidRPr="00D01952">
        <w:rPr>
          <w:rFonts w:asciiTheme="majorBidi" w:hAnsiTheme="majorBidi" w:cstheme="majorBidi"/>
          <w:b/>
          <w:bCs/>
          <w:i/>
          <w:iCs/>
          <w:sz w:val="32"/>
          <w:szCs w:val="32"/>
          <w:lang w:val="fr-FR"/>
        </w:rPr>
        <w:t>I- Les polymères</w:t>
      </w:r>
      <w:r w:rsidRPr="00D01952">
        <w:rPr>
          <w:rFonts w:asciiTheme="majorBidi" w:hAnsiTheme="majorBidi" w:cstheme="majorBidi"/>
          <w:b/>
          <w:bCs/>
          <w:sz w:val="32"/>
          <w:szCs w:val="32"/>
          <w:lang w:val="fr-FR"/>
        </w:rPr>
        <w:t> :</w:t>
      </w:r>
    </w:p>
    <w:p w:rsidR="00B91060" w:rsidRPr="00D01952" w:rsidRDefault="00B91060" w:rsidP="00B91060">
      <w:pPr>
        <w:tabs>
          <w:tab w:val="left" w:pos="7263"/>
        </w:tabs>
        <w:spacing w:after="0" w:line="360" w:lineRule="auto"/>
        <w:ind w:left="88"/>
        <w:rPr>
          <w:rFonts w:asciiTheme="majorBidi" w:hAnsiTheme="majorBidi" w:cstheme="majorBidi"/>
          <w:sz w:val="24"/>
          <w:szCs w:val="24"/>
          <w:lang w:val="fr-FR"/>
        </w:rPr>
      </w:pPr>
    </w:p>
    <w:p w:rsidR="00B91060" w:rsidRDefault="00B91060" w:rsidP="00B91060">
      <w:pPr>
        <w:tabs>
          <w:tab w:val="left" w:pos="7263"/>
        </w:tabs>
        <w:spacing w:after="0" w:line="360" w:lineRule="auto"/>
        <w:ind w:left="88"/>
        <w:rPr>
          <w:rFonts w:asciiTheme="majorBidi" w:hAnsiTheme="majorBidi" w:cstheme="majorBidi"/>
          <w:sz w:val="24"/>
          <w:szCs w:val="24"/>
          <w:lang w:val="fr-FR"/>
        </w:rPr>
      </w:pPr>
      <w:r w:rsidRPr="00D01952">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   </w:t>
      </w:r>
      <w:r w:rsidRPr="00D01952">
        <w:rPr>
          <w:rFonts w:asciiTheme="majorBidi" w:hAnsiTheme="majorBidi" w:cstheme="majorBidi"/>
          <w:sz w:val="24"/>
          <w:szCs w:val="24"/>
          <w:lang w:val="fr-FR"/>
        </w:rPr>
        <w:t xml:space="preserve"> Les polymères sont des matériaux qui se trouvent sous forme de macromolécules, celles-ci sont constituées par la répétition d’unîtes de faible la masse moléculaire, liées enter elles par des liaisons covalentes [21-22], les molécules qui s’enchainent pour forme le polymère sont appelées monomères, lorsqu’un polymère est obtenu a partir de deux ou plusieurs monomère différentes, il est appelé copolymère, dans les cas contraire, on parle  alors  d homopolymère.</w:t>
      </w:r>
    </w:p>
    <w:p w:rsidR="00B91060" w:rsidRPr="006421A7" w:rsidRDefault="006421A7" w:rsidP="00B91060">
      <w:pPr>
        <w:tabs>
          <w:tab w:val="left" w:pos="7263"/>
        </w:tabs>
        <w:spacing w:after="0" w:line="360" w:lineRule="auto"/>
        <w:ind w:left="88"/>
        <w:rPr>
          <w:rFonts w:asciiTheme="majorBidi" w:hAnsiTheme="majorBidi" w:cstheme="majorBidi"/>
          <w:b/>
          <w:bCs/>
          <w:i/>
          <w:iCs/>
          <w:sz w:val="32"/>
          <w:szCs w:val="32"/>
          <w:lang w:val="fr-FR"/>
        </w:rPr>
      </w:pPr>
      <w:r>
        <w:rPr>
          <w:rFonts w:asciiTheme="majorBidi" w:hAnsiTheme="majorBidi" w:cstheme="majorBidi"/>
          <w:b/>
          <w:bCs/>
          <w:i/>
          <w:iCs/>
          <w:sz w:val="32"/>
          <w:szCs w:val="32"/>
          <w:lang w:val="fr-FR"/>
        </w:rPr>
        <w:t xml:space="preserve">Le cristaux liquides </w:t>
      </w:r>
    </w:p>
    <w:p w:rsidR="00B91060" w:rsidRDefault="00B91060" w:rsidP="00B91060">
      <w:pPr>
        <w:tabs>
          <w:tab w:val="left" w:pos="7263"/>
        </w:tabs>
        <w:spacing w:after="0" w:line="360" w:lineRule="auto"/>
        <w:ind w:left="63" w:firstLine="25"/>
        <w:rPr>
          <w:rFonts w:asciiTheme="majorBidi" w:hAnsiTheme="majorBidi" w:cstheme="majorBidi"/>
          <w:b/>
          <w:bCs/>
          <w:i/>
          <w:iCs/>
          <w:noProof/>
          <w:color w:val="000000"/>
          <w:spacing w:val="-1"/>
          <w:sz w:val="32"/>
          <w:szCs w:val="32"/>
          <w:lang w:val="fr-FR"/>
        </w:rPr>
      </w:pPr>
      <w:r w:rsidRPr="00D01952">
        <w:rPr>
          <w:rFonts w:asciiTheme="majorBidi" w:hAnsiTheme="majorBidi" w:cstheme="majorBidi"/>
          <w:b/>
          <w:bCs/>
          <w:i/>
          <w:iCs/>
          <w:noProof/>
          <w:color w:val="000000"/>
          <w:spacing w:val="-1"/>
          <w:sz w:val="32"/>
          <w:szCs w:val="32"/>
          <w:lang w:val="fr-FR"/>
        </w:rPr>
        <w:t>II-2.Définition :</w:t>
      </w:r>
    </w:p>
    <w:p w:rsidR="00B91060" w:rsidRPr="007E5E7F" w:rsidRDefault="00B91060" w:rsidP="00B91060">
      <w:pPr>
        <w:tabs>
          <w:tab w:val="left" w:pos="7263"/>
        </w:tabs>
        <w:spacing w:after="0" w:line="360" w:lineRule="auto"/>
        <w:ind w:left="63" w:firstLine="25"/>
        <w:rPr>
          <w:rFonts w:asciiTheme="majorBidi" w:hAnsiTheme="majorBidi" w:cstheme="majorBidi"/>
          <w:b/>
          <w:bCs/>
          <w:i/>
          <w:iCs/>
          <w:noProof/>
          <w:color w:val="000000"/>
          <w:spacing w:val="-1"/>
          <w:sz w:val="32"/>
          <w:szCs w:val="32"/>
          <w:lang w:val="fr-FR"/>
        </w:rPr>
      </w:pPr>
    </w:p>
    <w:p w:rsidR="00B91060" w:rsidRPr="006421A7" w:rsidRDefault="00B91060" w:rsidP="00B91060">
      <w:pPr>
        <w:tabs>
          <w:tab w:val="left" w:pos="7263"/>
        </w:tabs>
        <w:spacing w:after="0" w:line="360" w:lineRule="auto"/>
        <w:ind w:left="63" w:firstLine="25"/>
        <w:rPr>
          <w:rFonts w:asciiTheme="majorBidi" w:hAnsiTheme="majorBidi" w:cstheme="majorBidi"/>
          <w:noProof/>
          <w:color w:val="000000"/>
          <w:spacing w:val="-1"/>
          <w:sz w:val="24"/>
          <w:szCs w:val="24"/>
          <w:lang w:val="fr-FR"/>
        </w:rPr>
      </w:pPr>
      <w:r>
        <w:rPr>
          <w:rFonts w:asciiTheme="majorBidi" w:hAnsiTheme="majorBidi" w:cstheme="majorBidi"/>
          <w:noProof/>
          <w:color w:val="000000"/>
          <w:spacing w:val="-1"/>
          <w:sz w:val="24"/>
          <w:szCs w:val="24"/>
          <w:lang w:val="fr-FR"/>
        </w:rPr>
        <w:t xml:space="preserve">  </w:t>
      </w:r>
      <w:r w:rsidRPr="00D01952">
        <w:rPr>
          <w:rFonts w:asciiTheme="majorBidi" w:hAnsiTheme="majorBidi" w:cstheme="majorBidi"/>
          <w:noProof/>
          <w:color w:val="000000"/>
          <w:spacing w:val="-1"/>
          <w:sz w:val="24"/>
          <w:szCs w:val="24"/>
          <w:lang w:val="fr-FR"/>
        </w:rPr>
        <w:t>Un cristal liquide est un état de la matiére caractérisé par plusieurs états intermédiaires entre l’état cristallin, constitués d’atomes ou de molécules occupant une position fixe dans l’espace, ou l’ordre est total et l’état liquide, ou l’ord</w:t>
      </w:r>
      <w:r w:rsidR="006421A7">
        <w:rPr>
          <w:rFonts w:asciiTheme="majorBidi" w:hAnsiTheme="majorBidi" w:cstheme="majorBidi"/>
          <w:noProof/>
          <w:color w:val="000000"/>
          <w:spacing w:val="-1"/>
          <w:sz w:val="24"/>
          <w:szCs w:val="24"/>
          <w:lang w:val="fr-FR"/>
        </w:rPr>
        <w:t xml:space="preserve">re est totelment absent </w:t>
      </w:r>
      <w:r w:rsidR="006421A7" w:rsidRPr="006421A7">
        <w:rPr>
          <w:rFonts w:asciiTheme="majorBidi" w:hAnsiTheme="majorBidi" w:cstheme="majorBidi"/>
          <w:noProof/>
          <w:color w:val="000000"/>
          <w:spacing w:val="-1"/>
          <w:sz w:val="24"/>
          <w:szCs w:val="24"/>
          <w:lang w:val="fr-FR"/>
        </w:rPr>
        <w:t>.</w:t>
      </w:r>
      <w:r w:rsidRPr="006421A7">
        <w:rPr>
          <w:rFonts w:asciiTheme="majorBidi" w:hAnsiTheme="majorBidi" w:cstheme="majorBidi"/>
          <w:noProof/>
          <w:color w:val="000000"/>
          <w:spacing w:val="-1"/>
          <w:sz w:val="24"/>
          <w:szCs w:val="24"/>
          <w:lang w:val="fr-FR"/>
        </w:rPr>
        <w:t xml:space="preserve"> </w:t>
      </w:r>
      <w:r w:rsidR="006421A7" w:rsidRPr="006421A7">
        <w:rPr>
          <w:rFonts w:asciiTheme="majorBidi" w:hAnsiTheme="majorBidi" w:cstheme="majorBidi"/>
          <w:sz w:val="24"/>
          <w:szCs w:val="24"/>
          <w:lang w:val="fr-FR"/>
        </w:rPr>
        <w:t>Le CL nématique E7 est une matière dont les molécules sont allongées et parallèles entre elles. Structurellement, il est constitué de molécules élémentaires présentant une partie souple et une autre rigide</w:t>
      </w:r>
    </w:p>
    <w:p w:rsidR="00B91060" w:rsidRDefault="00B91060" w:rsidP="00B91060">
      <w:pPr>
        <w:tabs>
          <w:tab w:val="left" w:pos="7263"/>
        </w:tabs>
        <w:spacing w:after="0" w:line="360" w:lineRule="auto"/>
        <w:ind w:left="63" w:firstLine="25"/>
        <w:rPr>
          <w:rFonts w:asciiTheme="majorBidi" w:hAnsiTheme="majorBidi" w:cstheme="majorBidi"/>
          <w:noProof/>
          <w:color w:val="000000"/>
          <w:spacing w:val="-1"/>
          <w:sz w:val="24"/>
          <w:szCs w:val="24"/>
          <w:lang w:val="fr-FR"/>
        </w:rPr>
      </w:pPr>
    </w:p>
    <w:p w:rsidR="00B91060" w:rsidRPr="00D01952" w:rsidRDefault="00B91060" w:rsidP="00B91060">
      <w:pPr>
        <w:tabs>
          <w:tab w:val="left" w:pos="7263"/>
        </w:tabs>
        <w:spacing w:after="0" w:line="360" w:lineRule="auto"/>
        <w:rPr>
          <w:rFonts w:asciiTheme="majorBidi" w:hAnsiTheme="majorBidi" w:cstheme="majorBidi"/>
          <w:i/>
          <w:iCs/>
          <w:noProof/>
          <w:color w:val="000000"/>
          <w:spacing w:val="-1"/>
          <w:sz w:val="24"/>
          <w:lang w:val="fr-FR"/>
        </w:rPr>
      </w:pPr>
    </w:p>
    <w:p w:rsidR="00B91060" w:rsidRPr="00D01952" w:rsidRDefault="00B91060" w:rsidP="00B91060">
      <w:pPr>
        <w:tabs>
          <w:tab w:val="left" w:pos="7263"/>
        </w:tabs>
        <w:spacing w:after="0" w:line="360" w:lineRule="auto"/>
        <w:ind w:left="63" w:firstLine="25"/>
        <w:rPr>
          <w:rFonts w:asciiTheme="majorBidi" w:hAnsiTheme="majorBidi" w:cstheme="majorBidi"/>
          <w:b/>
          <w:bCs/>
          <w:i/>
          <w:iCs/>
          <w:noProof/>
          <w:color w:val="000000"/>
          <w:spacing w:val="-1"/>
          <w:sz w:val="32"/>
          <w:szCs w:val="32"/>
          <w:lang w:val="fr-FR"/>
        </w:rPr>
      </w:pPr>
      <w:r w:rsidRPr="00D01952">
        <w:rPr>
          <w:rFonts w:asciiTheme="majorBidi" w:hAnsiTheme="majorBidi" w:cstheme="majorBidi"/>
          <w:b/>
          <w:bCs/>
          <w:i/>
          <w:iCs/>
          <w:noProof/>
          <w:color w:val="000000"/>
          <w:spacing w:val="-1"/>
          <w:sz w:val="32"/>
          <w:szCs w:val="32"/>
          <w:lang w:val="fr-FR"/>
        </w:rPr>
        <w:t>III.Les systémes PDLC :</w:t>
      </w:r>
    </w:p>
    <w:p w:rsidR="00B91060" w:rsidRDefault="00B91060" w:rsidP="00B91060">
      <w:pPr>
        <w:tabs>
          <w:tab w:val="left" w:pos="7263"/>
        </w:tabs>
        <w:spacing w:after="0" w:line="360" w:lineRule="auto"/>
        <w:ind w:left="63" w:firstLine="25"/>
        <w:rPr>
          <w:rFonts w:asciiTheme="majorBidi" w:hAnsiTheme="majorBidi" w:cstheme="majorBidi"/>
          <w:b/>
          <w:bCs/>
          <w:i/>
          <w:iCs/>
          <w:noProof/>
          <w:color w:val="000000"/>
          <w:spacing w:val="-1"/>
          <w:sz w:val="32"/>
          <w:szCs w:val="32"/>
          <w:lang w:val="fr-FR"/>
        </w:rPr>
      </w:pPr>
      <w:r w:rsidRPr="00D01952">
        <w:rPr>
          <w:rFonts w:asciiTheme="majorBidi" w:hAnsiTheme="majorBidi" w:cstheme="majorBidi"/>
          <w:b/>
          <w:bCs/>
          <w:i/>
          <w:iCs/>
          <w:noProof/>
          <w:color w:val="000000"/>
          <w:spacing w:val="-1"/>
          <w:sz w:val="32"/>
          <w:szCs w:val="32"/>
          <w:lang w:val="fr-FR"/>
        </w:rPr>
        <w:t xml:space="preserve">   III-1.Définitions :</w:t>
      </w:r>
    </w:p>
    <w:p w:rsidR="00B91060" w:rsidRPr="00A36DC9" w:rsidRDefault="00B91060" w:rsidP="00B91060">
      <w:pPr>
        <w:tabs>
          <w:tab w:val="left" w:pos="7263"/>
        </w:tabs>
        <w:spacing w:after="0" w:line="360" w:lineRule="auto"/>
        <w:ind w:left="63" w:firstLine="25"/>
        <w:rPr>
          <w:rFonts w:asciiTheme="majorBidi" w:hAnsiTheme="majorBidi" w:cstheme="majorBidi"/>
          <w:b/>
          <w:bCs/>
          <w:i/>
          <w:iCs/>
          <w:noProof/>
          <w:color w:val="000000"/>
          <w:spacing w:val="-1"/>
          <w:sz w:val="32"/>
          <w:szCs w:val="32"/>
          <w:lang w:val="fr-FR"/>
        </w:rPr>
      </w:pPr>
    </w:p>
    <w:p w:rsidR="00B91060" w:rsidRPr="00D01952" w:rsidRDefault="00B91060" w:rsidP="00B91060">
      <w:pPr>
        <w:tabs>
          <w:tab w:val="left" w:pos="7263"/>
        </w:tabs>
        <w:spacing w:after="0" w:line="360" w:lineRule="auto"/>
        <w:ind w:left="63" w:firstLine="25"/>
        <w:rPr>
          <w:rFonts w:asciiTheme="majorBidi" w:hAnsiTheme="majorBidi" w:cstheme="majorBidi"/>
          <w:noProof/>
          <w:color w:val="000000"/>
          <w:spacing w:val="-1"/>
          <w:sz w:val="24"/>
          <w:szCs w:val="24"/>
          <w:lang w:val="fr-FR"/>
        </w:rPr>
      </w:pPr>
      <w:r>
        <w:rPr>
          <w:rFonts w:asciiTheme="majorBidi" w:hAnsiTheme="majorBidi" w:cstheme="majorBidi"/>
          <w:noProof/>
          <w:color w:val="000000"/>
          <w:spacing w:val="-1"/>
          <w:sz w:val="24"/>
          <w:szCs w:val="24"/>
          <w:lang w:val="fr-FR"/>
        </w:rPr>
        <w:t xml:space="preserve">   </w:t>
      </w:r>
      <w:r w:rsidRPr="00D01952">
        <w:rPr>
          <w:rFonts w:asciiTheme="majorBidi" w:hAnsiTheme="majorBidi" w:cstheme="majorBidi"/>
          <w:noProof/>
          <w:color w:val="000000"/>
          <w:spacing w:val="-1"/>
          <w:sz w:val="24"/>
          <w:szCs w:val="24"/>
          <w:lang w:val="fr-FR"/>
        </w:rPr>
        <w:t>Les mélanges d’un polymére et de cristal liquide de faible m</w:t>
      </w:r>
      <w:r>
        <w:rPr>
          <w:rFonts w:asciiTheme="majorBidi" w:hAnsiTheme="majorBidi" w:cstheme="majorBidi"/>
          <w:noProof/>
          <w:color w:val="000000"/>
          <w:spacing w:val="-1"/>
          <w:sz w:val="24"/>
          <w:szCs w:val="24"/>
          <w:lang w:val="fr-FR"/>
        </w:rPr>
        <w:t>asse peuvent conduire à des sys</w:t>
      </w:r>
      <w:r w:rsidRPr="00D01952">
        <w:rPr>
          <w:rFonts w:asciiTheme="majorBidi" w:hAnsiTheme="majorBidi" w:cstheme="majorBidi"/>
          <w:noProof/>
          <w:color w:val="000000"/>
          <w:spacing w:val="-1"/>
          <w:sz w:val="24"/>
          <w:szCs w:val="24"/>
          <w:lang w:val="fr-FR"/>
        </w:rPr>
        <w:t xml:space="preserve">témes homogénes ou hétérogénes. </w:t>
      </w:r>
    </w:p>
    <w:p w:rsidR="00B91060" w:rsidRPr="00D01952" w:rsidRDefault="00B91060" w:rsidP="00B91060">
      <w:pPr>
        <w:tabs>
          <w:tab w:val="left" w:pos="7263"/>
        </w:tabs>
        <w:spacing w:after="0" w:line="360" w:lineRule="auto"/>
        <w:ind w:left="63" w:firstLine="25"/>
        <w:rPr>
          <w:rFonts w:asciiTheme="majorBidi" w:hAnsiTheme="majorBidi" w:cstheme="majorBidi"/>
          <w:noProof/>
          <w:color w:val="000000"/>
          <w:spacing w:val="-1"/>
          <w:sz w:val="24"/>
          <w:szCs w:val="24"/>
          <w:lang w:val="fr-FR"/>
        </w:rPr>
      </w:pPr>
      <w:r>
        <w:rPr>
          <w:rFonts w:asciiTheme="majorBidi" w:hAnsiTheme="majorBidi" w:cstheme="majorBidi"/>
          <w:noProof/>
          <w:color w:val="000000"/>
          <w:spacing w:val="-1"/>
          <w:sz w:val="24"/>
          <w:szCs w:val="24"/>
          <w:lang w:val="fr-FR"/>
        </w:rPr>
        <w:t xml:space="preserve">  </w:t>
      </w:r>
      <w:r w:rsidRPr="00D01952">
        <w:rPr>
          <w:rFonts w:asciiTheme="majorBidi" w:hAnsiTheme="majorBidi" w:cstheme="majorBidi"/>
          <w:noProof/>
          <w:color w:val="000000"/>
          <w:spacing w:val="-1"/>
          <w:sz w:val="24"/>
          <w:szCs w:val="24"/>
          <w:lang w:val="fr-FR"/>
        </w:rPr>
        <w:t xml:space="preserve">Dans le second cas, il y a séparation de phase (démixtion) et le materiau obtenu et un composite polymére/cristal liquide, celui-ci peut étre constitué d’un réseau polymère réticulé dans une phase cristal liquide continue ; il est alors appelé PNCL (Polymer Network Liquid Cristal). </w:t>
      </w:r>
    </w:p>
    <w:p w:rsidR="00B91060" w:rsidRPr="00D01952" w:rsidRDefault="00B91060" w:rsidP="00B91060">
      <w:pPr>
        <w:tabs>
          <w:tab w:val="left" w:pos="7263"/>
        </w:tabs>
        <w:spacing w:after="0" w:line="360" w:lineRule="auto"/>
        <w:ind w:left="63" w:firstLine="25"/>
        <w:rPr>
          <w:rFonts w:asciiTheme="majorBidi" w:hAnsiTheme="majorBidi" w:cstheme="majorBidi"/>
          <w:noProof/>
          <w:color w:val="000000"/>
          <w:spacing w:val="-1"/>
          <w:sz w:val="24"/>
          <w:szCs w:val="24"/>
          <w:lang w:val="fr-FR"/>
        </w:rPr>
      </w:pPr>
      <w:r>
        <w:rPr>
          <w:rFonts w:asciiTheme="majorBidi" w:hAnsiTheme="majorBidi" w:cstheme="majorBidi"/>
          <w:noProof/>
          <w:color w:val="000000"/>
          <w:spacing w:val="-1"/>
          <w:sz w:val="24"/>
          <w:szCs w:val="24"/>
          <w:lang w:val="fr-FR"/>
        </w:rPr>
        <w:t xml:space="preserve">   </w:t>
      </w:r>
      <w:r w:rsidRPr="00D01952">
        <w:rPr>
          <w:rFonts w:asciiTheme="majorBidi" w:hAnsiTheme="majorBidi" w:cstheme="majorBidi"/>
          <w:noProof/>
          <w:color w:val="000000"/>
          <w:spacing w:val="-1"/>
          <w:sz w:val="24"/>
          <w:szCs w:val="24"/>
          <w:lang w:val="fr-FR"/>
        </w:rPr>
        <w:t>Lorsque le composite polymère cristal liquide est forme d’une dispersion de gouttelette de cristal liquide au sein d’une phase macromoléculaira continue, il est appélé cristal liquide dispersé dans une matrice polymère (Polymere Dis</w:t>
      </w:r>
      <w:r w:rsidR="006421A7">
        <w:rPr>
          <w:rFonts w:asciiTheme="majorBidi" w:hAnsiTheme="majorBidi" w:cstheme="majorBidi"/>
          <w:noProof/>
          <w:color w:val="000000"/>
          <w:spacing w:val="-1"/>
          <w:sz w:val="24"/>
          <w:szCs w:val="24"/>
          <w:lang w:val="fr-FR"/>
        </w:rPr>
        <w:t xml:space="preserve">persed Liquide Crystal : PDLC) </w:t>
      </w:r>
      <w:r w:rsidRPr="00D01952">
        <w:rPr>
          <w:rFonts w:asciiTheme="majorBidi" w:hAnsiTheme="majorBidi" w:cstheme="majorBidi"/>
          <w:noProof/>
          <w:color w:val="000000"/>
          <w:spacing w:val="-1"/>
          <w:sz w:val="24"/>
          <w:szCs w:val="24"/>
          <w:lang w:val="fr-FR"/>
        </w:rPr>
        <w:t>.</w:t>
      </w:r>
    </w:p>
    <w:p w:rsidR="00B91060" w:rsidRPr="00D01952" w:rsidRDefault="00B91060" w:rsidP="00B91060">
      <w:pPr>
        <w:tabs>
          <w:tab w:val="left" w:pos="7263"/>
        </w:tabs>
        <w:spacing w:after="0" w:line="360" w:lineRule="auto"/>
        <w:ind w:left="63" w:firstLine="25"/>
        <w:rPr>
          <w:rFonts w:asciiTheme="majorBidi" w:hAnsiTheme="majorBidi" w:cstheme="majorBidi"/>
          <w:noProof/>
          <w:color w:val="000000"/>
          <w:spacing w:val="-1"/>
          <w:sz w:val="24"/>
          <w:szCs w:val="24"/>
          <w:lang w:val="fr-FR"/>
        </w:rPr>
      </w:pPr>
    </w:p>
    <w:p w:rsidR="00B91060" w:rsidRPr="00D457EC" w:rsidRDefault="00B91060" w:rsidP="00B91060">
      <w:pPr>
        <w:spacing w:after="0" w:line="360" w:lineRule="auto"/>
        <w:rPr>
          <w:rFonts w:asciiTheme="majorBidi" w:hAnsiTheme="majorBidi" w:cstheme="majorBidi"/>
          <w:b/>
          <w:bCs/>
          <w:i/>
          <w:noProof/>
          <w:color w:val="000000"/>
          <w:sz w:val="32"/>
          <w:szCs w:val="32"/>
          <w:lang w:val="fr-FR"/>
        </w:rPr>
      </w:pPr>
      <w:r w:rsidRPr="00D457EC">
        <w:rPr>
          <w:rFonts w:asciiTheme="majorBidi" w:hAnsiTheme="majorBidi" w:cstheme="majorBidi"/>
          <w:b/>
          <w:bCs/>
          <w:i/>
          <w:noProof/>
          <w:color w:val="000000"/>
          <w:sz w:val="32"/>
          <w:szCs w:val="32"/>
          <w:lang w:val="fr-FR"/>
        </w:rPr>
        <w:t>I-Matériaux utilisés et élaboration des PDLC : </w:t>
      </w:r>
    </w:p>
    <w:p w:rsidR="00B91060" w:rsidRPr="00D457EC" w:rsidRDefault="00B91060" w:rsidP="00B91060">
      <w:pPr>
        <w:spacing w:after="0" w:line="360" w:lineRule="auto"/>
        <w:rPr>
          <w:rFonts w:asciiTheme="majorBidi" w:hAnsiTheme="majorBidi" w:cstheme="majorBidi"/>
          <w:b/>
          <w:bCs/>
          <w:i/>
          <w:noProof/>
          <w:color w:val="000000"/>
          <w:sz w:val="32"/>
          <w:szCs w:val="32"/>
          <w:lang w:val="fr-FR"/>
        </w:rPr>
      </w:pPr>
      <w:r w:rsidRPr="00D457EC">
        <w:rPr>
          <w:rFonts w:asciiTheme="majorBidi" w:hAnsiTheme="majorBidi" w:cstheme="majorBidi"/>
          <w:b/>
          <w:bCs/>
          <w:i/>
          <w:noProof/>
          <w:color w:val="000000"/>
          <w:sz w:val="32"/>
          <w:szCs w:val="32"/>
          <w:lang w:val="fr-FR"/>
        </w:rPr>
        <w:t xml:space="preserve">   I-1 Les monomérés : </w:t>
      </w:r>
    </w:p>
    <w:p w:rsidR="00B91060" w:rsidRPr="00D457EC" w:rsidRDefault="00B91060" w:rsidP="00B91060">
      <w:pPr>
        <w:spacing w:line="360" w:lineRule="auto"/>
        <w:rPr>
          <w:rFonts w:asciiTheme="majorBidi" w:hAnsiTheme="majorBidi" w:cstheme="majorBidi"/>
          <w:b/>
          <w:bCs/>
          <w:i/>
          <w:iCs/>
          <w:sz w:val="32"/>
          <w:szCs w:val="32"/>
          <w:lang w:val="fr-FR"/>
        </w:rPr>
      </w:pPr>
      <w:r w:rsidRPr="00D457EC">
        <w:rPr>
          <w:rFonts w:asciiTheme="majorBidi" w:hAnsiTheme="majorBidi" w:cstheme="majorBidi"/>
          <w:b/>
          <w:bCs/>
          <w:i/>
          <w:iCs/>
          <w:sz w:val="32"/>
          <w:szCs w:val="32"/>
          <w:lang w:val="fr-FR"/>
        </w:rPr>
        <w:t xml:space="preserve"> Poly propylène-glycol-diacrylate (TPGDA)</w:t>
      </w:r>
    </w:p>
    <w:p w:rsidR="00B91060" w:rsidRPr="001949D9" w:rsidRDefault="00B91060" w:rsidP="00B91060">
      <w:pPr>
        <w:pStyle w:val="Default"/>
        <w:spacing w:line="360" w:lineRule="auto"/>
        <w:ind w:firstLine="708"/>
        <w:jc w:val="both"/>
        <w:rPr>
          <w:rFonts w:asciiTheme="majorBidi" w:hAnsiTheme="majorBidi" w:cstheme="majorBidi"/>
          <w:color w:val="auto"/>
        </w:rPr>
      </w:pPr>
      <w:r w:rsidRPr="001949D9">
        <w:rPr>
          <w:rFonts w:asciiTheme="majorBidi" w:hAnsiTheme="majorBidi" w:cstheme="majorBidi"/>
          <w:color w:val="auto"/>
        </w:rPr>
        <w:t>Le monomère principal utilisé dans nos matériaux est le propylène-glycol-diacrylates (PPGDA). Le schéma de la molécule est présenté sur la figure II.1. Les monomères utilisés pendant cette étude est le tripropylène glycol diacrylate (TPGDA : Cray Valley, France.</w:t>
      </w:r>
    </w:p>
    <w:p w:rsidR="00B91060" w:rsidRPr="001949D9" w:rsidRDefault="00B91060" w:rsidP="00B91060">
      <w:pPr>
        <w:pStyle w:val="Default"/>
        <w:spacing w:line="360" w:lineRule="auto"/>
        <w:jc w:val="center"/>
        <w:rPr>
          <w:rFonts w:asciiTheme="majorBidi" w:hAnsiTheme="majorBidi" w:cstheme="majorBidi"/>
          <w:color w:val="auto"/>
        </w:rPr>
      </w:pPr>
      <w:r w:rsidRPr="001949D9">
        <w:rPr>
          <w:rFonts w:asciiTheme="majorBidi" w:hAnsiTheme="majorBidi" w:cstheme="majorBidi"/>
          <w:noProof/>
          <w:color w:val="auto"/>
        </w:rPr>
        <w:drawing>
          <wp:inline distT="0" distB="0" distL="0" distR="0">
            <wp:extent cx="3157220" cy="776605"/>
            <wp:effectExtent l="0" t="0" r="0" b="0"/>
            <wp:docPr id="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157220" cy="776605"/>
                    </a:xfrm>
                    <a:prstGeom prst="rect">
                      <a:avLst/>
                    </a:prstGeom>
                    <a:noFill/>
                    <a:ln w="9525">
                      <a:noFill/>
                      <a:miter lim="800000"/>
                      <a:headEnd/>
                      <a:tailEnd/>
                    </a:ln>
                  </pic:spPr>
                </pic:pic>
              </a:graphicData>
            </a:graphic>
          </wp:inline>
        </w:drawing>
      </w:r>
    </w:p>
    <w:p w:rsidR="00B91060" w:rsidRPr="001949D9" w:rsidRDefault="00B91060" w:rsidP="00B91060">
      <w:pPr>
        <w:pStyle w:val="Corpsdetexte"/>
        <w:spacing w:after="120"/>
        <w:jc w:val="center"/>
        <w:outlineLvl w:val="0"/>
        <w:rPr>
          <w:rStyle w:val="TitreFigureCar"/>
          <w:rFonts w:asciiTheme="majorBidi" w:eastAsiaTheme="majorEastAsia" w:hAnsiTheme="majorBidi" w:cstheme="majorBidi"/>
          <w:bCs/>
        </w:rPr>
      </w:pPr>
      <w:r w:rsidRPr="001949D9">
        <w:rPr>
          <w:rFonts w:asciiTheme="majorBidi" w:hAnsiTheme="majorBidi" w:cstheme="majorBidi"/>
          <w:b/>
          <w:i/>
          <w:iCs/>
        </w:rPr>
        <w:t>Figure II.1</w:t>
      </w:r>
      <w:r w:rsidRPr="001949D9">
        <w:rPr>
          <w:rFonts w:asciiTheme="majorBidi" w:hAnsiTheme="majorBidi" w:cstheme="majorBidi"/>
          <w:b/>
        </w:rPr>
        <w:t>:</w:t>
      </w:r>
      <w:r w:rsidRPr="001949D9">
        <w:rPr>
          <w:rFonts w:asciiTheme="majorBidi" w:hAnsiTheme="majorBidi" w:cstheme="majorBidi"/>
          <w:bCs/>
        </w:rPr>
        <w:t xml:space="preserve"> </w:t>
      </w:r>
      <w:r w:rsidRPr="001949D9">
        <w:rPr>
          <w:rStyle w:val="TitreFigureCar"/>
          <w:rFonts w:asciiTheme="majorBidi" w:eastAsiaTheme="majorEastAsia" w:hAnsiTheme="majorBidi" w:cstheme="majorBidi"/>
          <w:bCs/>
        </w:rPr>
        <w:t>Formule chimique des</w:t>
      </w:r>
      <w:r w:rsidRPr="001949D9">
        <w:rPr>
          <w:rFonts w:asciiTheme="majorBidi" w:hAnsiTheme="majorBidi" w:cstheme="majorBidi"/>
        </w:rPr>
        <w:t xml:space="preserve"> </w:t>
      </w:r>
      <w:r w:rsidRPr="001949D9">
        <w:rPr>
          <w:rFonts w:asciiTheme="majorBidi" w:hAnsiTheme="majorBidi" w:cstheme="majorBidi"/>
          <w:bCs/>
          <w:i/>
        </w:rPr>
        <w:t>polypropylènes glycol diacrylate</w:t>
      </w:r>
      <w:r w:rsidRPr="001949D9">
        <w:rPr>
          <w:rStyle w:val="TitreFigureCar"/>
          <w:rFonts w:asciiTheme="majorBidi" w:eastAsiaTheme="majorEastAsia" w:hAnsiTheme="majorBidi" w:cstheme="majorBidi"/>
          <w:bCs/>
        </w:rPr>
        <w:t xml:space="preserve"> (TPGDA, n=3)</w:t>
      </w:r>
    </w:p>
    <w:p w:rsidR="00B91060" w:rsidRPr="001949D9" w:rsidRDefault="00B91060" w:rsidP="00B91060">
      <w:pPr>
        <w:pStyle w:val="Corpsdetexte"/>
        <w:spacing w:after="120"/>
        <w:jc w:val="center"/>
        <w:outlineLvl w:val="0"/>
        <w:rPr>
          <w:rStyle w:val="TitreFigureCar"/>
          <w:rFonts w:asciiTheme="majorBidi" w:eastAsiaTheme="majorEastAsia" w:hAnsiTheme="majorBidi" w:cstheme="majorBidi"/>
          <w:bCs/>
        </w:rPr>
      </w:pPr>
    </w:p>
    <w:p w:rsidR="00B91060" w:rsidRPr="001949D9" w:rsidRDefault="00B91060" w:rsidP="00B91060">
      <w:pPr>
        <w:pStyle w:val="Texte"/>
        <w:ind w:firstLine="0"/>
        <w:rPr>
          <w:rFonts w:asciiTheme="majorBidi" w:hAnsiTheme="majorBidi" w:cstheme="majorBidi"/>
        </w:rPr>
      </w:pPr>
      <w:r w:rsidRPr="001949D9">
        <w:rPr>
          <w:rFonts w:asciiTheme="majorBidi" w:hAnsiTheme="majorBidi" w:cstheme="majorBidi"/>
        </w:rPr>
        <w:t xml:space="preserve">Les monomères PPGDA sont des monomères di fonctionnels diffèrent par la taille de leur motif de répétition et plus précisément par la distance des points de réticulation des polymères formés. Cette distance conditionne la structure du réseau polymère formé. </w:t>
      </w:r>
    </w:p>
    <w:p w:rsidR="00B91060" w:rsidRPr="00D457EC" w:rsidRDefault="00B91060" w:rsidP="00B91060">
      <w:pPr>
        <w:spacing w:line="360" w:lineRule="auto"/>
        <w:rPr>
          <w:rFonts w:asciiTheme="majorBidi" w:hAnsiTheme="majorBidi" w:cstheme="majorBidi"/>
          <w:b/>
          <w:bCs/>
          <w:i/>
          <w:iCs/>
          <w:sz w:val="32"/>
          <w:szCs w:val="32"/>
          <w:lang w:val="fr-FR"/>
        </w:rPr>
      </w:pPr>
      <w:r w:rsidRPr="00D457EC">
        <w:rPr>
          <w:rFonts w:asciiTheme="majorBidi" w:hAnsiTheme="majorBidi" w:cstheme="majorBidi"/>
          <w:b/>
          <w:bCs/>
          <w:i/>
          <w:iCs/>
          <w:sz w:val="32"/>
          <w:szCs w:val="32"/>
          <w:lang w:val="fr-FR"/>
        </w:rPr>
        <w:t>I-3- Le photoamorceur :</w:t>
      </w:r>
    </w:p>
    <w:p w:rsidR="00B91060" w:rsidRPr="001949D9" w:rsidRDefault="00B91060" w:rsidP="00B91060">
      <w:pPr>
        <w:pStyle w:val="Texte"/>
        <w:ind w:firstLine="708"/>
        <w:rPr>
          <w:rFonts w:asciiTheme="majorBidi" w:hAnsiTheme="majorBidi" w:cstheme="majorBidi"/>
        </w:rPr>
      </w:pPr>
      <w:r w:rsidRPr="001949D9">
        <w:rPr>
          <w:rFonts w:asciiTheme="majorBidi" w:hAnsiTheme="majorBidi" w:cstheme="majorBidi"/>
        </w:rPr>
        <w:t>Pour la préparation des échantillons d’un système polymère/CL sous rayonnement UV, l’utilisation d’un photoamorceur est nécessaire. Le photoamorceur employé dans cette étude est le Darocur 1173, couramment utilisé en polymérisation UV. Le Darocur 1173 est un photoamorceur radicalaire commercialisé par CIBA-GEICY qui se présente sous forme d’un liquide incolore (Figure II.4).</w:t>
      </w:r>
    </w:p>
    <w:p w:rsidR="00B91060" w:rsidRPr="001949D9" w:rsidRDefault="00B91060" w:rsidP="00B91060">
      <w:pPr>
        <w:pStyle w:val="Texte"/>
        <w:ind w:firstLine="0"/>
        <w:jc w:val="center"/>
        <w:rPr>
          <w:rFonts w:asciiTheme="majorBidi" w:hAnsiTheme="majorBidi" w:cstheme="majorBidi"/>
        </w:rPr>
      </w:pPr>
      <w:r w:rsidRPr="001949D9">
        <w:rPr>
          <w:rFonts w:asciiTheme="majorBidi" w:hAnsiTheme="majorBidi" w:cstheme="majorBidi"/>
          <w:noProof/>
        </w:rPr>
        <w:drawing>
          <wp:inline distT="0" distB="0" distL="0" distR="0">
            <wp:extent cx="1552575" cy="1190625"/>
            <wp:effectExtent l="19050" t="0" r="9525" b="0"/>
            <wp:docPr id="2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552575" cy="1190625"/>
                    </a:xfrm>
                    <a:prstGeom prst="rect">
                      <a:avLst/>
                    </a:prstGeom>
                    <a:noFill/>
                    <a:ln w="9525">
                      <a:noFill/>
                      <a:miter lim="800000"/>
                      <a:headEnd/>
                      <a:tailEnd/>
                    </a:ln>
                  </pic:spPr>
                </pic:pic>
              </a:graphicData>
            </a:graphic>
          </wp:inline>
        </w:drawing>
      </w:r>
    </w:p>
    <w:p w:rsidR="00B91060" w:rsidRPr="001949D9" w:rsidRDefault="00B91060" w:rsidP="00B91060">
      <w:pPr>
        <w:pStyle w:val="TitreFigure"/>
        <w:spacing w:line="360" w:lineRule="auto"/>
        <w:rPr>
          <w:rFonts w:asciiTheme="majorBidi" w:hAnsiTheme="majorBidi" w:cstheme="majorBidi"/>
        </w:rPr>
      </w:pPr>
      <w:r w:rsidRPr="001949D9">
        <w:rPr>
          <w:rFonts w:asciiTheme="majorBidi" w:hAnsiTheme="majorBidi" w:cstheme="majorBidi"/>
          <w:b/>
          <w:bCs/>
        </w:rPr>
        <w:t>Figure II.4 :</w:t>
      </w:r>
      <w:r w:rsidRPr="001949D9">
        <w:rPr>
          <w:rFonts w:asciiTheme="majorBidi" w:hAnsiTheme="majorBidi" w:cstheme="majorBidi"/>
        </w:rPr>
        <w:t xml:space="preserve"> Formule chimique du 2-hydroxy-2-méthyl-1-phényl-propan-1-one (Darocur 1173).</w:t>
      </w:r>
    </w:p>
    <w:p w:rsidR="00B91060" w:rsidRPr="001949D9" w:rsidRDefault="00B91060" w:rsidP="00B91060">
      <w:pPr>
        <w:pStyle w:val="Texte"/>
        <w:ind w:firstLine="708"/>
        <w:rPr>
          <w:rFonts w:asciiTheme="majorBidi" w:hAnsiTheme="majorBidi" w:cstheme="majorBidi"/>
        </w:rPr>
      </w:pPr>
      <w:r w:rsidRPr="001949D9">
        <w:rPr>
          <w:rFonts w:asciiTheme="majorBidi" w:hAnsiTheme="majorBidi" w:cstheme="majorBidi"/>
        </w:rPr>
        <w:lastRenderedPageBreak/>
        <w:t xml:space="preserve">Dans ce travail on a utilisé 2% en masse de Darocur 1173 par rapport à la masse du monomère. Une étude sur la photo-réactivité des acrylates et des méthacrylates a montré que cette concentration massique semble être optimale [50]. </w:t>
      </w:r>
    </w:p>
    <w:p w:rsidR="00CB3E49" w:rsidRPr="005D3DFD" w:rsidRDefault="00CB3E49" w:rsidP="00CB3E49">
      <w:pPr>
        <w:spacing w:line="360" w:lineRule="auto"/>
        <w:ind w:firstLine="708"/>
        <w:jc w:val="both"/>
        <w:rPr>
          <w:i/>
          <w:iCs/>
          <w:sz w:val="32"/>
          <w:szCs w:val="32"/>
        </w:rPr>
      </w:pPr>
    </w:p>
    <w:p w:rsidR="00CB3E49" w:rsidRPr="00CB3E49" w:rsidRDefault="00CB3E49" w:rsidP="00CB3E49">
      <w:pPr>
        <w:spacing w:line="360" w:lineRule="auto"/>
        <w:rPr>
          <w:rFonts w:asciiTheme="majorBidi" w:hAnsiTheme="majorBidi" w:cstheme="majorBidi"/>
          <w:b/>
          <w:bCs/>
          <w:i/>
          <w:iCs/>
          <w:sz w:val="32"/>
          <w:szCs w:val="32"/>
          <w:lang w:val="fr-FR"/>
        </w:rPr>
      </w:pPr>
      <w:r w:rsidRPr="00CB3E49">
        <w:rPr>
          <w:rFonts w:asciiTheme="majorBidi" w:hAnsiTheme="majorBidi" w:cstheme="majorBidi"/>
          <w:b/>
          <w:bCs/>
          <w:i/>
          <w:iCs/>
          <w:sz w:val="32"/>
          <w:szCs w:val="32"/>
          <w:lang w:val="fr-FR"/>
        </w:rPr>
        <w:t>III-1) Taux de conversion et cinétique de polymérisation :</w:t>
      </w:r>
    </w:p>
    <w:p w:rsidR="00CB3E49" w:rsidRPr="00CB3E49" w:rsidRDefault="00CB3E49" w:rsidP="00CB3E49">
      <w:pPr>
        <w:autoSpaceDE w:val="0"/>
        <w:autoSpaceDN w:val="0"/>
        <w:adjustRightInd w:val="0"/>
        <w:spacing w:line="360" w:lineRule="auto"/>
        <w:ind w:firstLine="708"/>
        <w:jc w:val="both"/>
        <w:rPr>
          <w:rFonts w:asciiTheme="majorBidi" w:hAnsiTheme="majorBidi" w:cstheme="majorBidi"/>
          <w:sz w:val="24"/>
          <w:szCs w:val="24"/>
          <w:lang w:val="fr-FR"/>
        </w:rPr>
      </w:pPr>
    </w:p>
    <w:p w:rsidR="00CB3E49" w:rsidRPr="00CB3E49" w:rsidRDefault="00CB3E49" w:rsidP="00CB3E49">
      <w:pPr>
        <w:autoSpaceDE w:val="0"/>
        <w:autoSpaceDN w:val="0"/>
        <w:adjustRightInd w:val="0"/>
        <w:spacing w:line="360" w:lineRule="auto"/>
        <w:ind w:firstLine="708"/>
        <w:jc w:val="both"/>
        <w:rPr>
          <w:rFonts w:asciiTheme="majorBidi" w:hAnsiTheme="majorBidi" w:cstheme="majorBidi"/>
          <w:sz w:val="24"/>
          <w:szCs w:val="24"/>
          <w:lang w:val="fr-FR"/>
        </w:rPr>
      </w:pPr>
      <w:r w:rsidRPr="00CB3E49">
        <w:rPr>
          <w:rFonts w:asciiTheme="majorBidi" w:hAnsiTheme="majorBidi" w:cstheme="majorBidi"/>
          <w:sz w:val="24"/>
          <w:szCs w:val="24"/>
          <w:lang w:val="fr-FR"/>
        </w:rPr>
        <w:t xml:space="preserve">Dans ce paragraphe, on s’intéresse à la cinétique  et la caractérisation des PDLCs formés par la photo-polymérisation des mélanges TPGDA/E7. Les films sont préparés par rayonnement UV (2% de Darocur 1173 par rapport à la partie monomérique) à différentes doses d’irradiation et en fonction de la composition. </w:t>
      </w:r>
    </w:p>
    <w:p w:rsidR="008351EC" w:rsidRPr="001949D9" w:rsidRDefault="008351EC" w:rsidP="008351EC">
      <w:pPr>
        <w:spacing w:after="0" w:line="360" w:lineRule="auto"/>
        <w:rPr>
          <w:rFonts w:asciiTheme="majorBidi" w:hAnsiTheme="majorBidi" w:cstheme="majorBidi"/>
          <w:iCs/>
          <w:noProof/>
          <w:color w:val="000000"/>
          <w:sz w:val="24"/>
          <w:szCs w:val="24"/>
          <w:lang w:val="fr-FR"/>
        </w:rPr>
      </w:pPr>
    </w:p>
    <w:p w:rsidR="00B91060" w:rsidRPr="008351EC" w:rsidRDefault="008351EC" w:rsidP="008351EC">
      <w:pPr>
        <w:spacing w:after="0" w:line="360" w:lineRule="auto"/>
        <w:rPr>
          <w:rFonts w:asciiTheme="majorBidi" w:hAnsiTheme="majorBidi" w:cstheme="majorBidi"/>
          <w:b/>
          <w:bCs/>
          <w:i/>
          <w:noProof/>
          <w:color w:val="000000"/>
          <w:sz w:val="32"/>
          <w:szCs w:val="32"/>
          <w:lang w:val="fr-FR"/>
        </w:rPr>
      </w:pPr>
      <w:r w:rsidRPr="00C56D1E">
        <w:rPr>
          <w:rFonts w:asciiTheme="majorBidi" w:hAnsiTheme="majorBidi" w:cstheme="majorBidi"/>
          <w:b/>
          <w:bCs/>
          <w:i/>
          <w:noProof/>
          <w:color w:val="000000"/>
          <w:sz w:val="32"/>
          <w:szCs w:val="32"/>
          <w:lang w:val="fr-FR"/>
        </w:rPr>
        <w:t>III-Analyse par spactroscopie infrarouge (IRTF) :</w:t>
      </w:r>
    </w:p>
    <w:p w:rsidR="00B91060" w:rsidRDefault="008351EC" w:rsidP="00B91060">
      <w:pPr>
        <w:pStyle w:val="Texte"/>
        <w:ind w:firstLine="0"/>
      </w:pPr>
      <w:r w:rsidRPr="00DB67A5">
        <w:t>La spectroscopie infrarouge par</w:t>
      </w:r>
      <w:r>
        <w:t xml:space="preserve"> la transformation</w:t>
      </w:r>
      <w:r w:rsidRPr="00DB67A5">
        <w:t xml:space="preserve"> de Fourier est souvent utilisée pour caractériser des échantillons de cristaux liquides ou des systèmes</w:t>
      </w:r>
      <w:r>
        <w:t xml:space="preserve"> polymère/cristaux liquides. </w:t>
      </w:r>
      <w:r w:rsidRPr="00DB67A5">
        <w:t>Les monomères étudiés possèdent des liaisons C=C dans les groupements acrylates qui présentent des bandes caractéristiques à 810 et à 1637 cm</w:t>
      </w:r>
      <w:r w:rsidRPr="00DB67A5">
        <w:rPr>
          <w:vertAlign w:val="superscript"/>
        </w:rPr>
        <w:t>-1</w:t>
      </w:r>
      <w:r w:rsidRPr="00DB67A5">
        <w:t>. Dans cette étude nous avons suivi l’évolution de ces deux bandes avec la dose UV reçue par l’échantillon, dans le but d’étudier la cinétique de la photo-polymérisation</w:t>
      </w:r>
    </w:p>
    <w:p w:rsidR="00D64E88" w:rsidRDefault="00D64E88" w:rsidP="00B91060">
      <w:pPr>
        <w:pStyle w:val="Texte"/>
        <w:ind w:firstLine="0"/>
      </w:pPr>
    </w:p>
    <w:p w:rsidR="00CB3E49" w:rsidRPr="00CB3E49" w:rsidRDefault="00CB3E49" w:rsidP="00D64E88">
      <w:pPr>
        <w:spacing w:line="360" w:lineRule="auto"/>
        <w:rPr>
          <w:rFonts w:asciiTheme="majorBidi" w:hAnsiTheme="majorBidi" w:cstheme="majorBidi"/>
          <w:b/>
          <w:bCs/>
          <w:i/>
          <w:iCs/>
          <w:sz w:val="32"/>
          <w:szCs w:val="32"/>
          <w:lang w:val="fr-FR"/>
        </w:rPr>
      </w:pPr>
      <w:r w:rsidRPr="00CB3E49">
        <w:rPr>
          <w:rFonts w:asciiTheme="majorBidi" w:hAnsiTheme="majorBidi" w:cstheme="majorBidi"/>
          <w:b/>
          <w:bCs/>
          <w:i/>
          <w:iCs/>
          <w:sz w:val="32"/>
          <w:szCs w:val="32"/>
          <w:lang w:val="fr-FR"/>
        </w:rPr>
        <w:t>III-3-Etude comparative :</w:t>
      </w:r>
    </w:p>
    <w:p w:rsidR="00CB3E49" w:rsidRDefault="00CB3E49" w:rsidP="00CB3E49">
      <w:pPr>
        <w:pStyle w:val="Corpsdetexte"/>
        <w:ind w:firstLine="708"/>
        <w:jc w:val="both"/>
        <w:rPr>
          <w:rFonts w:asciiTheme="majorBidi" w:hAnsiTheme="majorBidi" w:cstheme="majorBidi"/>
        </w:rPr>
      </w:pPr>
      <w:r w:rsidRPr="00E21190">
        <w:rPr>
          <w:rFonts w:asciiTheme="majorBidi" w:hAnsiTheme="majorBidi" w:cstheme="majorBidi"/>
        </w:rPr>
        <w:t xml:space="preserve">Dans les systèmes TPGDA/E7 (Figures III-1-2), on remarque qu’à faibles doses que la cinétique augmente avec la concentration du CL E7 (de 0 à 50%), puis elle rechute à 70% de CL E7. A cette concentration de 70%, la dilution par le CL E7 a l’effet de faire éloigner les chaines monomères les uns et les autres. </w:t>
      </w:r>
    </w:p>
    <w:p w:rsidR="00CB3E49" w:rsidRDefault="00CB3E49" w:rsidP="00CB3E49">
      <w:pPr>
        <w:pStyle w:val="Corpsdetexte"/>
        <w:ind w:firstLine="708"/>
        <w:jc w:val="both"/>
        <w:rPr>
          <w:rFonts w:asciiTheme="majorBidi" w:hAnsiTheme="majorBidi" w:cstheme="majorBidi"/>
        </w:rPr>
      </w:pPr>
      <w:r w:rsidRPr="00E21190">
        <w:rPr>
          <w:rFonts w:asciiTheme="majorBidi" w:hAnsiTheme="majorBidi" w:cstheme="majorBidi"/>
        </w:rPr>
        <w:t xml:space="preserve">Cet effet de l’éloignement est la cause de la chute de la pente c’est la cinétique diminue. Contrairement à cette effet, pour les concentrations inférieures (30 et 50% de CL E7), l’ajout du CL E7 joue un effet positif vis-à-vis la cinétique car à ces concentrations la dilution par le cristal liquide augmente la probabilité de rencontre entre les chaines monomériques. </w:t>
      </w:r>
    </w:p>
    <w:p w:rsidR="00CB3E49" w:rsidRDefault="00CB3E49" w:rsidP="00CB3E49">
      <w:pPr>
        <w:pStyle w:val="Corpsdetexte"/>
        <w:ind w:firstLine="708"/>
        <w:jc w:val="both"/>
        <w:rPr>
          <w:rFonts w:asciiTheme="majorBidi" w:hAnsiTheme="majorBidi" w:cstheme="majorBidi"/>
        </w:rPr>
      </w:pPr>
      <w:r w:rsidRPr="00E21190">
        <w:rPr>
          <w:rFonts w:asciiTheme="majorBidi" w:hAnsiTheme="majorBidi" w:cstheme="majorBidi"/>
        </w:rPr>
        <w:lastRenderedPageBreak/>
        <w:t xml:space="preserve">Pour les systèmes à 30 et 50% de CL E7à des fortes doses les courbes tendent à se rejoindre aux fortes pour atteindre un taux maximal de conversion au voisinage de 93%, donc le taux de conversion est amélioré par rapport au TPGDA de 3%. </w:t>
      </w:r>
    </w:p>
    <w:p w:rsidR="00CB3E49" w:rsidRDefault="00CB3E49" w:rsidP="00CB3E49">
      <w:pPr>
        <w:pStyle w:val="Corpsdetexte"/>
        <w:ind w:firstLine="708"/>
        <w:jc w:val="both"/>
        <w:rPr>
          <w:rFonts w:asciiTheme="majorBidi" w:hAnsiTheme="majorBidi" w:cstheme="majorBidi"/>
        </w:rPr>
      </w:pPr>
      <w:r w:rsidRPr="00E21190">
        <w:rPr>
          <w:rFonts w:asciiTheme="majorBidi" w:hAnsiTheme="majorBidi" w:cstheme="majorBidi"/>
        </w:rPr>
        <w:t>Le système à 70% de CL E7  malgré qu’il possède une cinétique plus faible par rapport aux autres à faible dose, il présente un le taux de conversion le plus élevé à la fin de la réaction de la photo-polymérisation et le taux de conversion est amélioré de 9% par rapport au TPGDA. Comme nous avons déjà cité dans l’introduction cette analyse consiste à déterminer la dose optimale pour avoir une polymérisation « complète » du mélange, les temps optimaux obtenus pour les matériaux TPGDA</w:t>
      </w:r>
      <w:r>
        <w:rPr>
          <w:rFonts w:asciiTheme="majorBidi" w:hAnsiTheme="majorBidi" w:cstheme="majorBidi"/>
        </w:rPr>
        <w:t xml:space="preserve"> (n=3)</w:t>
      </w:r>
      <w:r w:rsidRPr="00E21190">
        <w:rPr>
          <w:rFonts w:asciiTheme="majorBidi" w:hAnsiTheme="majorBidi" w:cstheme="majorBidi"/>
        </w:rPr>
        <w:t>, TPGDA (30%E7), TPGDA (50%E7), TPGDA (70%E7) sont respectivement 20, 20, 15 et 20 minutes.</w:t>
      </w:r>
    </w:p>
    <w:p w:rsidR="00CB3E49" w:rsidRDefault="00CB3E49" w:rsidP="00CB3E49">
      <w:pPr>
        <w:pStyle w:val="Corpsdetexte"/>
        <w:ind w:firstLine="708"/>
        <w:jc w:val="both"/>
        <w:rPr>
          <w:rFonts w:asciiTheme="majorBidi" w:hAnsiTheme="majorBidi" w:cstheme="majorBidi"/>
        </w:rPr>
      </w:pPr>
    </w:p>
    <w:p w:rsidR="00CB3E49" w:rsidRDefault="00CB3E49" w:rsidP="00CB3E49">
      <w:pPr>
        <w:pStyle w:val="Corpsdetexte"/>
        <w:ind w:firstLine="708"/>
        <w:jc w:val="both"/>
        <w:rPr>
          <w:rFonts w:asciiTheme="majorBidi" w:hAnsiTheme="majorBidi" w:cstheme="majorBidi"/>
        </w:rPr>
      </w:pPr>
    </w:p>
    <w:p w:rsidR="00CB3E49" w:rsidRDefault="00CB3E49" w:rsidP="00CB3E49">
      <w:pPr>
        <w:pStyle w:val="Corpsdetexte"/>
        <w:ind w:firstLine="708"/>
        <w:jc w:val="both"/>
        <w:rPr>
          <w:rFonts w:asciiTheme="majorBidi" w:hAnsiTheme="majorBidi" w:cstheme="majorBidi"/>
        </w:rPr>
      </w:pPr>
    </w:p>
    <w:p w:rsidR="00CB3E49" w:rsidRPr="00D457EC" w:rsidRDefault="00CB3E49" w:rsidP="00B91060">
      <w:pPr>
        <w:pStyle w:val="Texte"/>
        <w:ind w:firstLine="0"/>
        <w:rPr>
          <w:rFonts w:asciiTheme="majorBidi" w:hAnsiTheme="majorBidi" w:cstheme="majorBidi"/>
          <w:i/>
          <w:iCs/>
          <w:sz w:val="32"/>
          <w:szCs w:val="32"/>
        </w:rPr>
      </w:pPr>
    </w:p>
    <w:p w:rsidR="006F2C94" w:rsidRPr="00B91060" w:rsidRDefault="006F2C94">
      <w:pPr>
        <w:rPr>
          <w:rFonts w:asciiTheme="majorBidi" w:hAnsiTheme="majorBidi" w:cstheme="majorBidi"/>
          <w:sz w:val="24"/>
          <w:szCs w:val="24"/>
          <w:lang w:val="fr-FR"/>
        </w:rPr>
      </w:pPr>
    </w:p>
    <w:sectPr w:rsidR="006F2C94" w:rsidRPr="00B91060" w:rsidSect="006421A7">
      <w:footerReference w:type="default" r:id="rId8"/>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58E" w:rsidRDefault="001C258E" w:rsidP="006421A7">
      <w:pPr>
        <w:spacing w:after="0" w:line="240" w:lineRule="auto"/>
      </w:pPr>
      <w:r>
        <w:separator/>
      </w:r>
    </w:p>
  </w:endnote>
  <w:endnote w:type="continuationSeparator" w:id="1">
    <w:p w:rsidR="001C258E" w:rsidRDefault="001C258E" w:rsidP="00642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15905"/>
      <w:docPartObj>
        <w:docPartGallery w:val="Page Numbers (Bottom of Page)"/>
        <w:docPartUnique/>
      </w:docPartObj>
    </w:sdtPr>
    <w:sdtContent>
      <w:p w:rsidR="006421A7" w:rsidRDefault="006421A7">
        <w:pPr>
          <w:pStyle w:val="Pieddepage"/>
          <w:jc w:val="center"/>
        </w:pPr>
        <w:fldSimple w:instr=" PAGE   \* MERGEFORMAT ">
          <w:r w:rsidR="002C01DE">
            <w:rPr>
              <w:noProof/>
            </w:rPr>
            <w:t>4</w:t>
          </w:r>
        </w:fldSimple>
      </w:p>
    </w:sdtContent>
  </w:sdt>
  <w:p w:rsidR="006421A7" w:rsidRDefault="006421A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58E" w:rsidRDefault="001C258E" w:rsidP="006421A7">
      <w:pPr>
        <w:spacing w:after="0" w:line="240" w:lineRule="auto"/>
      </w:pPr>
      <w:r>
        <w:separator/>
      </w:r>
    </w:p>
  </w:footnote>
  <w:footnote w:type="continuationSeparator" w:id="1">
    <w:p w:rsidR="001C258E" w:rsidRDefault="001C258E" w:rsidP="006421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B91060"/>
    <w:rsid w:val="001C258E"/>
    <w:rsid w:val="002C01DE"/>
    <w:rsid w:val="006421A7"/>
    <w:rsid w:val="006F2C94"/>
    <w:rsid w:val="008351EC"/>
    <w:rsid w:val="00B91060"/>
    <w:rsid w:val="00CB3E49"/>
    <w:rsid w:val="00D64E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60"/>
    <w:pPr>
      <w:widowControl w:val="0"/>
    </w:pPr>
    <w:rPr>
      <w:rFonts w:eastAsiaTheme="minorEastAsia"/>
      <w:kern w:val="2"/>
      <w:sz w:val="21"/>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link w:val="TexteCar"/>
    <w:rsid w:val="00B91060"/>
    <w:pPr>
      <w:widowControl/>
      <w:spacing w:before="240" w:after="0" w:line="360" w:lineRule="auto"/>
      <w:ind w:firstLine="709"/>
      <w:jc w:val="both"/>
    </w:pPr>
    <w:rPr>
      <w:rFonts w:ascii="Times New Roman" w:eastAsia="Times New Roman" w:hAnsi="Times New Roman" w:cs="Times New Roman"/>
      <w:kern w:val="0"/>
      <w:sz w:val="24"/>
      <w:szCs w:val="24"/>
      <w:lang w:val="fr-FR" w:eastAsia="fr-FR"/>
    </w:rPr>
  </w:style>
  <w:style w:type="character" w:customStyle="1" w:styleId="TexteCar">
    <w:name w:val="Texte Car"/>
    <w:basedOn w:val="Policepardfaut"/>
    <w:link w:val="Texte"/>
    <w:rsid w:val="00B91060"/>
    <w:rPr>
      <w:rFonts w:ascii="Times New Roman" w:eastAsia="Times New Roman" w:hAnsi="Times New Roman" w:cs="Times New Roman"/>
      <w:sz w:val="24"/>
      <w:szCs w:val="24"/>
      <w:lang w:eastAsia="fr-FR"/>
    </w:rPr>
  </w:style>
  <w:style w:type="paragraph" w:customStyle="1" w:styleId="TitreFigure">
    <w:name w:val="TitreFigure"/>
    <w:basedOn w:val="Normal"/>
    <w:link w:val="TitreFigureCar"/>
    <w:rsid w:val="00B91060"/>
    <w:pPr>
      <w:widowControl/>
      <w:numPr>
        <w:ilvl w:val="5"/>
      </w:numPr>
      <w:spacing w:before="240" w:after="360" w:line="240" w:lineRule="auto"/>
      <w:jc w:val="center"/>
    </w:pPr>
    <w:rPr>
      <w:rFonts w:ascii="Times New Roman" w:eastAsia="Times New Roman" w:hAnsi="Times New Roman" w:cs="Times New Roman"/>
      <w:i/>
      <w:kern w:val="0"/>
      <w:sz w:val="24"/>
      <w:szCs w:val="24"/>
      <w:lang w:val="fr-FR" w:eastAsia="fr-FR"/>
    </w:rPr>
  </w:style>
  <w:style w:type="character" w:customStyle="1" w:styleId="TitreFigureCar">
    <w:name w:val="TitreFigure Car"/>
    <w:basedOn w:val="Policepardfaut"/>
    <w:link w:val="TitreFigure"/>
    <w:rsid w:val="00B91060"/>
    <w:rPr>
      <w:rFonts w:ascii="Times New Roman" w:eastAsia="Times New Roman" w:hAnsi="Times New Roman" w:cs="Times New Roman"/>
      <w:i/>
      <w:sz w:val="24"/>
      <w:szCs w:val="24"/>
      <w:lang w:eastAsia="fr-FR"/>
    </w:rPr>
  </w:style>
  <w:style w:type="paragraph" w:styleId="Corpsdetexte">
    <w:name w:val="Body Text"/>
    <w:basedOn w:val="Normal"/>
    <w:link w:val="CorpsdetexteCar"/>
    <w:semiHidden/>
    <w:rsid w:val="00B91060"/>
    <w:pPr>
      <w:widowControl/>
      <w:spacing w:after="0" w:line="360" w:lineRule="auto"/>
    </w:pPr>
    <w:rPr>
      <w:rFonts w:ascii="Times New Roman" w:eastAsia="Times New Roman" w:hAnsi="Times New Roman" w:cs="Times New Roman"/>
      <w:kern w:val="0"/>
      <w:sz w:val="24"/>
      <w:szCs w:val="24"/>
      <w:lang w:val="fr-FR" w:eastAsia="fr-FR"/>
    </w:rPr>
  </w:style>
  <w:style w:type="character" w:customStyle="1" w:styleId="CorpsdetexteCar">
    <w:name w:val="Corps de texte Car"/>
    <w:basedOn w:val="Policepardfaut"/>
    <w:link w:val="Corpsdetexte"/>
    <w:semiHidden/>
    <w:rsid w:val="00B91060"/>
    <w:rPr>
      <w:rFonts w:ascii="Times New Roman" w:eastAsia="Times New Roman" w:hAnsi="Times New Roman" w:cs="Times New Roman"/>
      <w:sz w:val="24"/>
      <w:szCs w:val="24"/>
      <w:lang w:eastAsia="fr-FR"/>
    </w:rPr>
  </w:style>
  <w:style w:type="paragraph" w:customStyle="1" w:styleId="Default">
    <w:name w:val="Default"/>
    <w:rsid w:val="00B91060"/>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B910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060"/>
    <w:rPr>
      <w:rFonts w:ascii="Tahoma" w:eastAsiaTheme="minorEastAsia" w:hAnsi="Tahoma" w:cs="Tahoma"/>
      <w:kern w:val="2"/>
      <w:sz w:val="16"/>
      <w:szCs w:val="16"/>
      <w:lang w:val="en-US" w:eastAsia="zh-CN"/>
    </w:rPr>
  </w:style>
  <w:style w:type="paragraph" w:styleId="En-tte">
    <w:name w:val="header"/>
    <w:basedOn w:val="Normal"/>
    <w:link w:val="En-tteCar"/>
    <w:uiPriority w:val="99"/>
    <w:semiHidden/>
    <w:unhideWhenUsed/>
    <w:rsid w:val="006421A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21A7"/>
    <w:rPr>
      <w:rFonts w:eastAsiaTheme="minorEastAsia"/>
      <w:kern w:val="2"/>
      <w:sz w:val="21"/>
      <w:lang w:val="en-US" w:eastAsia="zh-CN"/>
    </w:rPr>
  </w:style>
  <w:style w:type="paragraph" w:styleId="Pieddepage">
    <w:name w:val="footer"/>
    <w:basedOn w:val="Normal"/>
    <w:link w:val="PieddepageCar"/>
    <w:uiPriority w:val="99"/>
    <w:unhideWhenUsed/>
    <w:rsid w:val="006421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21A7"/>
    <w:rPr>
      <w:rFonts w:eastAsiaTheme="minorEastAsia"/>
      <w:kern w:val="2"/>
      <w:sz w:val="21"/>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867</Words>
  <Characters>4772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2015-12-01T18:27:00Z</dcterms:created>
  <dcterms:modified xsi:type="dcterms:W3CDTF">2015-12-01T19:08:00Z</dcterms:modified>
</cp:coreProperties>
</file>